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318"/>
        <w:jc w:val="center"/>
        <w:rPr>
          <w:rFonts w:ascii="仿宋_GB2312" w:hAnsi="宋体" w:eastAsia="仿宋_GB2312" w:cs="Times New Roman"/>
          <w:bCs/>
          <w:color w:val="000000"/>
          <w:kern w:val="0"/>
          <w:sz w:val="44"/>
          <w:szCs w:val="44"/>
        </w:rPr>
      </w:pPr>
      <w:r>
        <w:rPr>
          <w:rFonts w:hint="eastAsia" w:ascii="仿宋_GB2312" w:hAnsi="宋体" w:eastAsia="仿宋_GB2312" w:cs="Times New Roman"/>
          <w:bCs/>
          <w:color w:val="000000"/>
          <w:kern w:val="0"/>
          <w:sz w:val="44"/>
          <w:szCs w:val="44"/>
        </w:rPr>
        <w:t>威远县福利院服务托管项目</w:t>
      </w:r>
    </w:p>
    <w:p>
      <w:pPr>
        <w:pStyle w:val="2"/>
        <w:rPr>
          <w:rFonts w:eastAsiaTheme="minorEastAsia"/>
          <w:sz w:val="44"/>
          <w:szCs w:val="44"/>
          <w:lang w:val="en-US"/>
        </w:rPr>
      </w:pPr>
    </w:p>
    <w:p>
      <w:pPr>
        <w:pStyle w:val="2"/>
        <w:rPr>
          <w:rFonts w:eastAsia="宋体"/>
        </w:rPr>
      </w:pPr>
      <w:r>
        <w:rPr>
          <w:rFonts w:hint="eastAsia" w:eastAsia="宋体"/>
        </w:rPr>
        <w:t xml:space="preserve">一、项目与概述 </w:t>
      </w:r>
    </w:p>
    <w:p>
      <w:pPr>
        <w:pStyle w:val="3"/>
        <w:spacing w:line="360" w:lineRule="auto"/>
        <w:ind w:left="0" w:firstLine="479"/>
      </w:pPr>
      <w:r>
        <w:rPr>
          <w:rFonts w:hint="eastAsia"/>
          <w:spacing w:val="-1"/>
        </w:rPr>
        <w:t>（</w:t>
      </w:r>
      <w:r>
        <w:rPr>
          <w:rFonts w:hint="eastAsia"/>
          <w:spacing w:val="-1"/>
          <w:lang w:val="en-US"/>
        </w:rPr>
        <w:t>一）</w:t>
      </w:r>
      <w:r>
        <w:rPr>
          <w:spacing w:val="-1"/>
        </w:rPr>
        <w:t>项目名称：</w:t>
      </w:r>
      <w:r>
        <w:rPr>
          <w:rFonts w:hint="eastAsia"/>
          <w:spacing w:val="-1"/>
        </w:rPr>
        <w:t>威远县福利院服务托管项目</w:t>
      </w:r>
      <w:r>
        <w:t>。</w:t>
      </w:r>
    </w:p>
    <w:p>
      <w:pPr>
        <w:pStyle w:val="3"/>
        <w:spacing w:line="360" w:lineRule="auto"/>
        <w:ind w:left="0" w:firstLine="476"/>
        <w:rPr>
          <w:spacing w:val="-1"/>
          <w:lang w:val="en-US"/>
        </w:rPr>
      </w:pPr>
      <w:r>
        <w:rPr>
          <w:rFonts w:hint="eastAsia"/>
        </w:rPr>
        <w:t>（</w:t>
      </w:r>
      <w:r>
        <w:rPr>
          <w:rFonts w:hint="eastAsia"/>
          <w:lang w:val="en-US"/>
        </w:rPr>
        <w:t>二）</w:t>
      </w:r>
      <w:r>
        <w:t>项目概述：为进一步推进养老服务社会化、市场化，充分利用现有养老</w:t>
      </w:r>
      <w:r>
        <w:rPr>
          <w:spacing w:val="-1"/>
        </w:rPr>
        <w:t>服务资源，提高公办养老设施的使用效率及社会效益，提升养老服务管理水平，</w:t>
      </w:r>
      <w:r>
        <w:rPr>
          <w:rFonts w:hint="eastAsia"/>
          <w:spacing w:val="-6"/>
        </w:rPr>
        <w:t>根据内江市民政局《关于印发&lt;内江市农村养老服务三级网络建设实施方案&gt;的通知》(内民发〔2022〕63号)文件</w:t>
      </w:r>
      <w:r>
        <w:rPr>
          <w:spacing w:val="-6"/>
        </w:rPr>
        <w:t>精神</w:t>
      </w:r>
      <w:r>
        <w:rPr>
          <w:rFonts w:hint="eastAsia"/>
          <w:spacing w:val="-11"/>
        </w:rPr>
        <w:t>，</w:t>
      </w:r>
      <w:r>
        <w:rPr>
          <w:spacing w:val="-11"/>
        </w:rPr>
        <w:t>经</w:t>
      </w:r>
      <w:r>
        <w:rPr>
          <w:rFonts w:hint="eastAsia"/>
          <w:spacing w:val="-11"/>
        </w:rPr>
        <w:t>我公司</w:t>
      </w:r>
      <w:r>
        <w:rPr>
          <w:spacing w:val="-11"/>
        </w:rPr>
        <w:t>研究决定将</w:t>
      </w:r>
      <w:r>
        <w:rPr>
          <w:rFonts w:hint="eastAsia"/>
          <w:spacing w:val="-1"/>
        </w:rPr>
        <w:t>威远县福利院</w:t>
      </w:r>
      <w:r>
        <w:rPr>
          <w:spacing w:val="-15"/>
        </w:rPr>
        <w:t>通</w:t>
      </w:r>
      <w:r>
        <w:rPr>
          <w:spacing w:val="-1"/>
          <w:lang w:val="en-US"/>
        </w:rPr>
        <w:t>过</w:t>
      </w:r>
      <w:r>
        <w:rPr>
          <w:rFonts w:hint="eastAsia"/>
          <w:spacing w:val="-1"/>
          <w:lang w:val="en-US"/>
        </w:rPr>
        <w:t>征集意向合作单位的方式引进社会化企业运营</w:t>
      </w:r>
      <w:r>
        <w:rPr>
          <w:spacing w:val="-1"/>
          <w:lang w:val="en-US"/>
        </w:rPr>
        <w:t>实施公建民营。</w:t>
      </w:r>
    </w:p>
    <w:p>
      <w:pPr>
        <w:pStyle w:val="3"/>
        <w:spacing w:line="360" w:lineRule="auto"/>
        <w:ind w:left="0" w:firstLine="480" w:firstLineChars="200"/>
        <w:jc w:val="both"/>
        <w:rPr>
          <w:sz w:val="18"/>
          <w:lang w:val="en-US"/>
        </w:rPr>
      </w:pPr>
      <w:r>
        <w:rPr>
          <w:rFonts w:hint="eastAsia"/>
        </w:rPr>
        <w:t>（</w:t>
      </w:r>
      <w:r>
        <w:rPr>
          <w:rFonts w:hint="eastAsia"/>
          <w:lang w:val="en-US"/>
        </w:rPr>
        <w:t>三）点位名称</w:t>
      </w:r>
      <w:bookmarkStart w:id="1" w:name="_GoBack"/>
      <w:bookmarkEnd w:id="1"/>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1740"/>
        <w:gridCol w:w="4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4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sz w:val="21"/>
                <w:szCs w:val="21"/>
              </w:rPr>
            </w:pPr>
            <w:r>
              <w:rPr>
                <w:rFonts w:hint="eastAsia"/>
                <w:sz w:val="21"/>
                <w:szCs w:val="21"/>
              </w:rPr>
              <w:t>序号</w:t>
            </w:r>
          </w:p>
        </w:tc>
        <w:tc>
          <w:tcPr>
            <w:tcW w:w="174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right="47"/>
              <w:jc w:val="center"/>
              <w:rPr>
                <w:sz w:val="21"/>
                <w:szCs w:val="21"/>
                <w:lang w:val="en-US"/>
              </w:rPr>
            </w:pPr>
            <w:r>
              <w:rPr>
                <w:rFonts w:hint="eastAsia"/>
                <w:sz w:val="21"/>
                <w:szCs w:val="21"/>
                <w:lang w:val="en-US"/>
              </w:rPr>
              <w:t>所在乡镇</w:t>
            </w:r>
          </w:p>
        </w:tc>
        <w:tc>
          <w:tcPr>
            <w:tcW w:w="4358"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right="81"/>
              <w:jc w:val="center"/>
              <w:rPr>
                <w:sz w:val="21"/>
                <w:szCs w:val="21"/>
                <w:lang w:val="en-US"/>
              </w:rPr>
            </w:pPr>
            <w:r>
              <w:rPr>
                <w:rFonts w:hint="eastAsia"/>
                <w:sz w:val="21"/>
                <w:szCs w:val="21"/>
                <w:lang w:val="en-US"/>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45" w:type="dxa"/>
            <w:tcBorders>
              <w:top w:val="single" w:color="auto" w:sz="4" w:space="0"/>
            </w:tcBorders>
            <w:vAlign w:val="center"/>
          </w:tcPr>
          <w:p>
            <w:pPr>
              <w:pStyle w:val="14"/>
              <w:spacing w:line="360" w:lineRule="auto"/>
              <w:ind w:right="11"/>
              <w:jc w:val="center"/>
              <w:rPr>
                <w:sz w:val="21"/>
                <w:lang w:val="en-US"/>
              </w:rPr>
            </w:pPr>
            <w:r>
              <w:rPr>
                <w:rFonts w:hint="eastAsia"/>
                <w:sz w:val="21"/>
                <w:lang w:val="en-US"/>
              </w:rPr>
              <w:t>1</w:t>
            </w:r>
          </w:p>
        </w:tc>
        <w:tc>
          <w:tcPr>
            <w:tcW w:w="1740" w:type="dxa"/>
            <w:tcBorders>
              <w:top w:val="single" w:color="auto" w:sz="4" w:space="0"/>
            </w:tcBorders>
            <w:vAlign w:val="center"/>
          </w:tcPr>
          <w:p>
            <w:pPr>
              <w:pStyle w:val="14"/>
              <w:spacing w:line="360" w:lineRule="auto"/>
              <w:ind w:right="50"/>
              <w:jc w:val="center"/>
              <w:rPr>
                <w:sz w:val="21"/>
                <w:lang w:val="en-US"/>
              </w:rPr>
            </w:pPr>
            <w:r>
              <w:rPr>
                <w:rFonts w:hint="eastAsia"/>
                <w:sz w:val="21"/>
                <w:lang w:val="en-US"/>
              </w:rPr>
              <w:t>新店镇</w:t>
            </w:r>
          </w:p>
        </w:tc>
        <w:tc>
          <w:tcPr>
            <w:tcW w:w="4358" w:type="dxa"/>
            <w:tcBorders>
              <w:top w:val="single" w:color="auto" w:sz="4" w:space="0"/>
            </w:tcBorders>
            <w:vAlign w:val="center"/>
          </w:tcPr>
          <w:p>
            <w:pPr>
              <w:pStyle w:val="14"/>
              <w:spacing w:line="360" w:lineRule="auto"/>
              <w:ind w:right="81"/>
              <w:jc w:val="center"/>
              <w:rPr>
                <w:sz w:val="21"/>
                <w:lang w:val="en-US"/>
              </w:rPr>
            </w:pPr>
            <w:r>
              <w:rPr>
                <w:rFonts w:hint="eastAsia"/>
                <w:sz w:val="21"/>
                <w:lang w:val="en-US"/>
              </w:rPr>
              <w:t>威远县福利院</w:t>
            </w:r>
          </w:p>
        </w:tc>
      </w:tr>
    </w:tbl>
    <w:p>
      <w:pPr>
        <w:pStyle w:val="2"/>
        <w:rPr>
          <w:rFonts w:eastAsia="宋体"/>
        </w:rPr>
      </w:pPr>
    </w:p>
    <w:p>
      <w:pPr>
        <w:pStyle w:val="2"/>
        <w:rPr>
          <w:rFonts w:ascii="宋体" w:eastAsia="宋体"/>
          <w:b w:val="0"/>
        </w:rPr>
      </w:pPr>
      <w:r>
        <w:rPr>
          <w:rFonts w:hint="eastAsia" w:eastAsia="宋体"/>
        </w:rPr>
        <w:t>二、商务要求</w:t>
      </w:r>
      <w:r>
        <w:rPr>
          <w:rFonts w:hint="eastAsia" w:ascii="宋体" w:eastAsia="宋体"/>
          <w:b w:val="0"/>
        </w:rPr>
        <w:t xml:space="preserve"> </w:t>
      </w:r>
    </w:p>
    <w:p>
      <w:pPr>
        <w:pStyle w:val="3"/>
        <w:spacing w:line="360" w:lineRule="auto"/>
        <w:ind w:left="0" w:firstLine="480" w:firstLineChars="200"/>
        <w:rPr>
          <w:lang w:val="en-US"/>
        </w:rPr>
      </w:pPr>
      <w:r>
        <w:rPr>
          <w:rFonts w:hint="eastAsia"/>
        </w:rPr>
        <w:t>（一）运营期限</w:t>
      </w:r>
      <w:r>
        <w:rPr>
          <w:rFonts w:hint="eastAsia"/>
          <w:lang w:val="en-US"/>
        </w:rPr>
        <w:t>10年。</w:t>
      </w:r>
    </w:p>
    <w:p>
      <w:pPr>
        <w:pStyle w:val="3"/>
        <w:spacing w:line="360" w:lineRule="auto"/>
        <w:ind w:left="0" w:firstLine="480" w:firstLineChars="200"/>
        <w:rPr>
          <w:lang w:val="en-US"/>
        </w:rPr>
      </w:pPr>
      <w:r>
        <w:rPr>
          <w:rFonts w:hint="eastAsia"/>
          <w:lang w:val="en-US"/>
        </w:rPr>
        <w:t>（二）付款方式及条件</w:t>
      </w:r>
    </w:p>
    <w:p>
      <w:pPr>
        <w:pStyle w:val="3"/>
        <w:spacing w:line="360" w:lineRule="auto"/>
        <w:ind w:left="0" w:firstLine="448" w:firstLineChars="200"/>
      </w:pPr>
      <w:r>
        <w:rPr>
          <w:rFonts w:hint="eastAsia"/>
          <w:spacing w:val="-8"/>
        </w:rPr>
        <w:t>城市</w:t>
      </w:r>
      <w:r>
        <w:rPr>
          <w:spacing w:val="-8"/>
        </w:rPr>
        <w:t>特困老人供养经费</w:t>
      </w:r>
      <w:r>
        <w:rPr>
          <w:rFonts w:hint="eastAsia"/>
          <w:spacing w:val="-8"/>
        </w:rPr>
        <w:t>由民政局付款到威远县福利院账户</w:t>
      </w:r>
      <w:r>
        <w:rPr>
          <w:rFonts w:hint="eastAsia"/>
          <w:spacing w:val="-1"/>
        </w:rPr>
        <w:t>，</w:t>
      </w:r>
      <w:r>
        <w:rPr>
          <w:spacing w:val="-1"/>
        </w:rPr>
        <w:t>供养标准按</w:t>
      </w:r>
      <w:r>
        <w:rPr>
          <w:rFonts w:hint="eastAsia"/>
          <w:spacing w:val="-1"/>
        </w:rPr>
        <w:t>内江市人民</w:t>
      </w:r>
      <w:r>
        <w:rPr>
          <w:spacing w:val="-1"/>
        </w:rPr>
        <w:t>政府核定标准执行</w:t>
      </w:r>
      <w:r>
        <w:rPr>
          <w:rFonts w:hint="eastAsia"/>
          <w:spacing w:val="-1"/>
        </w:rPr>
        <w:t>。</w:t>
      </w:r>
    </w:p>
    <w:p>
      <w:pPr>
        <w:pStyle w:val="3"/>
        <w:spacing w:line="360" w:lineRule="auto"/>
        <w:ind w:left="0" w:firstLine="468" w:firstLineChars="200"/>
        <w:rPr>
          <w:spacing w:val="-3"/>
        </w:rPr>
      </w:pPr>
      <w:r>
        <w:rPr>
          <w:rFonts w:hint="eastAsia"/>
          <w:spacing w:val="-3"/>
        </w:rPr>
        <w:t>（三）托管服务期间无租金，托管运营期间合作单位依据入住人数向采购方缴纳资产损耗补偿费用，特困人员按照10元/月/人，社会代养人员按照100元/月/人，入住小于10天不纳入结算数据，入住大于等于10天不足一月的按照比例结算，每季度据实结算一次，甲方开具合规增值税专用发票进行结算。</w:t>
      </w:r>
    </w:p>
    <w:p>
      <w:pPr>
        <w:pStyle w:val="3"/>
        <w:spacing w:line="360" w:lineRule="auto"/>
        <w:ind w:left="0" w:firstLine="468" w:firstLineChars="200"/>
        <w:rPr>
          <w:spacing w:val="-3"/>
        </w:rPr>
      </w:pPr>
      <w:r>
        <w:rPr>
          <w:rFonts w:hint="eastAsia"/>
          <w:spacing w:val="-3"/>
        </w:rPr>
        <w:t>（四）意向合作单位与我公司及县民政局签订三方托管协议。</w:t>
      </w:r>
    </w:p>
    <w:p>
      <w:pPr>
        <w:pStyle w:val="3"/>
        <w:spacing w:line="360" w:lineRule="auto"/>
        <w:ind w:left="0" w:firstLine="468" w:firstLineChars="200"/>
        <w:rPr>
          <w:spacing w:val="-3"/>
        </w:rPr>
      </w:pPr>
      <w:r>
        <w:rPr>
          <w:rFonts w:hint="eastAsia"/>
          <w:spacing w:val="-3"/>
        </w:rPr>
        <w:t>（五）我公司将对合作单位的考核得分以县民政局对采购方考核得分为准。</w:t>
      </w:r>
    </w:p>
    <w:p>
      <w:pPr>
        <w:pStyle w:val="2"/>
        <w:rPr>
          <w:rFonts w:eastAsia="宋体"/>
        </w:rPr>
      </w:pPr>
      <w:r>
        <w:rPr>
          <w:rFonts w:hint="eastAsia" w:eastAsia="宋体"/>
        </w:rPr>
        <w:t xml:space="preserve">三、运营要求 </w:t>
      </w:r>
    </w:p>
    <w:p>
      <w:pPr>
        <w:pStyle w:val="3"/>
        <w:spacing w:line="360" w:lineRule="auto"/>
        <w:ind w:left="0" w:firstLine="479"/>
        <w:jc w:val="both"/>
        <w:rPr>
          <w:rFonts w:ascii="Microsoft JhengHei"/>
          <w:b/>
          <w:sz w:val="16"/>
        </w:rPr>
      </w:pPr>
      <w:r>
        <w:rPr>
          <w:rFonts w:hint="eastAsia"/>
          <w:spacing w:val="-1"/>
        </w:rPr>
        <w:t>（</w:t>
      </w:r>
      <w:r>
        <w:rPr>
          <w:rFonts w:hint="eastAsia"/>
          <w:spacing w:val="-1"/>
          <w:lang w:val="en-US"/>
        </w:rPr>
        <w:t>一</w:t>
      </w:r>
      <w:r>
        <w:rPr>
          <w:rFonts w:hint="eastAsia"/>
          <w:spacing w:val="-1"/>
        </w:rPr>
        <w:t>）</w:t>
      </w:r>
      <w:bookmarkStart w:id="0" w:name="_Hlk157606603"/>
      <w:r>
        <w:rPr>
          <w:rFonts w:hint="eastAsia"/>
          <w:spacing w:val="-1"/>
          <w:lang w:val="en-US"/>
        </w:rPr>
        <w:t>威远县福利院</w:t>
      </w:r>
      <w:bookmarkEnd w:id="0"/>
      <w:r>
        <w:rPr>
          <w:spacing w:val="-9"/>
        </w:rPr>
        <w:t>的日常管</w:t>
      </w:r>
      <w:r>
        <w:rPr>
          <w:spacing w:val="-10"/>
        </w:rPr>
        <w:t>理</w:t>
      </w:r>
      <w:r>
        <w:rPr>
          <w:rFonts w:hint="eastAsia"/>
          <w:spacing w:val="-10"/>
        </w:rPr>
        <w:t>和</w:t>
      </w:r>
      <w:r>
        <w:rPr>
          <w:spacing w:val="-10"/>
        </w:rPr>
        <w:t>运营，为区域内特困老</w:t>
      </w:r>
      <w:r>
        <w:t>人的养老需求提供支持</w:t>
      </w:r>
      <w:r>
        <w:rPr>
          <w:rFonts w:hint="eastAsia"/>
        </w:rPr>
        <w:t>。在满足城市特困老人入住的前提下，</w:t>
      </w:r>
      <w:r>
        <w:rPr>
          <w:spacing w:val="-2"/>
        </w:rPr>
        <w:t>合作单位可</w:t>
      </w:r>
      <w:r>
        <w:rPr>
          <w:spacing w:val="-6"/>
        </w:rPr>
        <w:t>通过向社会老人提供代养服务等方式</w:t>
      </w:r>
      <w:r>
        <w:rPr>
          <w:rFonts w:hint="eastAsia"/>
          <w:spacing w:val="-6"/>
        </w:rPr>
        <w:t>自主经营，自负盈亏</w:t>
      </w:r>
      <w:r>
        <w:rPr>
          <w:spacing w:val="-6"/>
        </w:rPr>
        <w:t>，其收费标准</w:t>
      </w:r>
      <w:r>
        <w:rPr>
          <w:rFonts w:hint="eastAsia"/>
          <w:spacing w:val="-6"/>
        </w:rPr>
        <w:t>结合市场供需关系特点</w:t>
      </w:r>
      <w:r>
        <w:rPr>
          <w:spacing w:val="-6"/>
        </w:rPr>
        <w:t>执行。</w:t>
      </w:r>
      <w:r>
        <w:t xml:space="preserve"> </w:t>
      </w:r>
    </w:p>
    <w:p>
      <w:pPr>
        <w:pStyle w:val="3"/>
        <w:spacing w:line="360" w:lineRule="auto"/>
        <w:ind w:left="0" w:firstLine="479"/>
        <w:jc w:val="both"/>
      </w:pPr>
      <w:r>
        <w:rPr>
          <w:rFonts w:hint="eastAsia"/>
          <w:spacing w:val="-1"/>
        </w:rPr>
        <w:t>（</w:t>
      </w:r>
      <w:r>
        <w:rPr>
          <w:rFonts w:hint="eastAsia"/>
          <w:spacing w:val="-1"/>
          <w:lang w:val="en-US"/>
        </w:rPr>
        <w:t>二</w:t>
      </w:r>
      <w:r>
        <w:rPr>
          <w:rFonts w:hint="eastAsia"/>
          <w:spacing w:val="-1"/>
        </w:rPr>
        <w:t>）合作单位应配备管理团队以便管理运营</w:t>
      </w:r>
      <w:r>
        <w:rPr>
          <w:rFonts w:hint="eastAsia"/>
          <w:spacing w:val="-9"/>
        </w:rPr>
        <w:t>威远县福利院</w:t>
      </w:r>
      <w:r>
        <w:rPr>
          <w:rFonts w:hint="eastAsia"/>
          <w:spacing w:val="-1"/>
        </w:rPr>
        <w:t>，同时应配置专门账户用于接受拨付城市特困老人供养经费。</w:t>
      </w:r>
    </w:p>
    <w:p>
      <w:pPr>
        <w:pStyle w:val="3"/>
        <w:spacing w:line="360" w:lineRule="auto"/>
        <w:ind w:left="0" w:firstLine="479"/>
        <w:jc w:val="both"/>
      </w:pPr>
      <w:r>
        <w:rPr>
          <w:rFonts w:hint="eastAsia"/>
          <w:spacing w:val="-1"/>
        </w:rPr>
        <w:t>（</w:t>
      </w:r>
      <w:r>
        <w:rPr>
          <w:rFonts w:hint="eastAsia"/>
          <w:spacing w:val="-1"/>
          <w:lang w:val="en-US"/>
        </w:rPr>
        <w:t>三</w:t>
      </w:r>
      <w:r>
        <w:rPr>
          <w:rFonts w:hint="eastAsia"/>
          <w:spacing w:val="-1"/>
        </w:rPr>
        <w:t>）威远县福利院</w:t>
      </w:r>
      <w:r>
        <w:rPr>
          <w:rFonts w:hint="eastAsia"/>
        </w:rPr>
        <w:t>现有工作人员</w:t>
      </w:r>
      <w:r>
        <w:t>，</w:t>
      </w:r>
      <w:r>
        <w:rPr>
          <w:rFonts w:hint="eastAsia"/>
        </w:rPr>
        <w:t>由</w:t>
      </w:r>
      <w:r>
        <w:t>合作单位</w:t>
      </w:r>
      <w:r>
        <w:rPr>
          <w:rFonts w:hint="eastAsia"/>
        </w:rPr>
        <w:t>考核合格后，按照相关管理与专业</w:t>
      </w:r>
      <w:r>
        <w:rPr>
          <w:rFonts w:hint="eastAsia"/>
          <w:spacing w:val="-1"/>
        </w:rPr>
        <w:t>标准</w:t>
      </w:r>
      <w:r>
        <w:rPr>
          <w:rFonts w:hint="eastAsia"/>
        </w:rPr>
        <w:t>，结合经营需要，进行聘用或者优先妥善安排目前已在威远县福利院的工作人员，</w:t>
      </w:r>
      <w:r>
        <w:t>在实施管理</w:t>
      </w:r>
      <w:r>
        <w:rPr>
          <w:rFonts w:hint="eastAsia"/>
        </w:rPr>
        <w:t>过程</w:t>
      </w:r>
      <w:r>
        <w:t>中，应合理设置岗位，</w:t>
      </w:r>
      <w:r>
        <w:rPr>
          <w:rFonts w:hint="eastAsia"/>
        </w:rPr>
        <w:t>配备充足工作人员</w:t>
      </w:r>
      <w:r>
        <w:t xml:space="preserve">，确保管理到位。 </w:t>
      </w:r>
    </w:p>
    <w:p>
      <w:pPr>
        <w:pStyle w:val="16"/>
        <w:tabs>
          <w:tab w:val="left" w:pos="1622"/>
        </w:tabs>
        <w:spacing w:line="360" w:lineRule="auto"/>
        <w:ind w:left="0" w:firstLine="476" w:firstLineChars="200"/>
        <w:rPr>
          <w:sz w:val="24"/>
        </w:rPr>
      </w:pPr>
      <w:r>
        <w:rPr>
          <w:rFonts w:hint="eastAsia"/>
          <w:spacing w:val="-1"/>
          <w:sz w:val="24"/>
          <w:szCs w:val="24"/>
        </w:rPr>
        <w:t>（</w:t>
      </w:r>
      <w:r>
        <w:rPr>
          <w:rFonts w:hint="eastAsia"/>
          <w:spacing w:val="-1"/>
          <w:sz w:val="24"/>
          <w:szCs w:val="24"/>
          <w:lang w:val="en-US"/>
        </w:rPr>
        <w:t>四</w:t>
      </w:r>
      <w:r>
        <w:rPr>
          <w:rFonts w:hint="eastAsia"/>
          <w:spacing w:val="-1"/>
          <w:sz w:val="24"/>
          <w:szCs w:val="24"/>
        </w:rPr>
        <w:t>）</w:t>
      </w:r>
      <w:r>
        <w:rPr>
          <w:rFonts w:hint="eastAsia"/>
          <w:sz w:val="24"/>
        </w:rPr>
        <w:t>合作单位</w:t>
      </w:r>
      <w:r>
        <w:rPr>
          <w:sz w:val="24"/>
        </w:rPr>
        <w:t>必须规范用工，签订</w:t>
      </w:r>
      <w:r>
        <w:rPr>
          <w:rFonts w:hint="eastAsia"/>
          <w:sz w:val="24"/>
        </w:rPr>
        <w:t>用工</w:t>
      </w:r>
      <w:r>
        <w:rPr>
          <w:sz w:val="24"/>
        </w:rPr>
        <w:t>合同，按月足额发放员工工资</w:t>
      </w:r>
      <w:r>
        <w:rPr>
          <w:rFonts w:hint="eastAsia"/>
          <w:sz w:val="24"/>
        </w:rPr>
        <w:t>，并按相关法律法规购买社会保险。</w:t>
      </w:r>
    </w:p>
    <w:p>
      <w:pPr>
        <w:pStyle w:val="16"/>
        <w:tabs>
          <w:tab w:val="left" w:pos="1622"/>
        </w:tabs>
        <w:spacing w:line="360" w:lineRule="auto"/>
        <w:ind w:left="0" w:firstLine="476" w:firstLineChars="200"/>
        <w:rPr>
          <w:sz w:val="24"/>
        </w:rPr>
      </w:pPr>
      <w:r>
        <w:rPr>
          <w:rFonts w:hint="eastAsia"/>
          <w:spacing w:val="-1"/>
          <w:sz w:val="24"/>
          <w:szCs w:val="24"/>
        </w:rPr>
        <w:t>（</w:t>
      </w:r>
      <w:r>
        <w:rPr>
          <w:rFonts w:hint="eastAsia"/>
          <w:spacing w:val="-1"/>
          <w:sz w:val="24"/>
          <w:szCs w:val="24"/>
          <w:lang w:val="en-US"/>
        </w:rPr>
        <w:t>五</w:t>
      </w:r>
      <w:r>
        <w:rPr>
          <w:rFonts w:hint="eastAsia"/>
          <w:spacing w:val="-1"/>
          <w:sz w:val="24"/>
          <w:szCs w:val="24"/>
        </w:rPr>
        <w:t>）</w:t>
      </w:r>
      <w:r>
        <w:rPr>
          <w:spacing w:val="-1"/>
          <w:sz w:val="24"/>
        </w:rPr>
        <w:t>合作单位必须遵守国家和地区的法律法规，接受民政、行业主管部门的</w:t>
      </w:r>
      <w:r>
        <w:rPr>
          <w:sz w:val="24"/>
        </w:rPr>
        <w:t xml:space="preserve">财务监督和业主指导。 </w:t>
      </w:r>
    </w:p>
    <w:p>
      <w:pPr>
        <w:pStyle w:val="2"/>
        <w:rPr>
          <w:rFonts w:eastAsia="宋体"/>
        </w:rPr>
      </w:pPr>
      <w:r>
        <w:rPr>
          <w:rFonts w:hint="eastAsia" w:eastAsia="宋体"/>
        </w:rPr>
        <w:t xml:space="preserve">四、技术、服务要求 </w:t>
      </w:r>
    </w:p>
    <w:p>
      <w:pPr>
        <w:pStyle w:val="3"/>
        <w:spacing w:line="360" w:lineRule="auto"/>
        <w:rPr>
          <w:lang w:val="en-US"/>
        </w:rPr>
      </w:pPr>
      <w:r>
        <w:rPr>
          <w:rFonts w:hint="eastAsia"/>
          <w:lang w:val="en-US"/>
        </w:rPr>
        <w:t>（一）运营监督管理</w:t>
      </w:r>
    </w:p>
    <w:p>
      <w:pPr>
        <w:pStyle w:val="3"/>
        <w:spacing w:line="360" w:lineRule="auto"/>
        <w:ind w:left="0" w:right="244" w:firstLine="480" w:firstLineChars="200"/>
      </w:pPr>
      <w:r>
        <w:rPr>
          <w:rFonts w:hint="eastAsia"/>
        </w:rPr>
        <w:t>一是资产监管。在正式实施前，我公司</w:t>
      </w:r>
      <w:r>
        <w:rPr>
          <w:rFonts w:hint="eastAsia"/>
          <w:lang w:val="en-US"/>
        </w:rPr>
        <w:t>和合作单位</w:t>
      </w:r>
      <w:r>
        <w:rPr>
          <w:rFonts w:hint="eastAsia"/>
        </w:rPr>
        <w:t>对</w:t>
      </w:r>
      <w:r>
        <w:rPr>
          <w:rFonts w:hint="eastAsia"/>
          <w:lang w:val="en-US"/>
        </w:rPr>
        <w:t>威远县福利院</w:t>
      </w:r>
      <w:r>
        <w:rPr>
          <w:rFonts w:hint="eastAsia"/>
        </w:rPr>
        <w:t>的</w:t>
      </w:r>
      <w:r>
        <w:rPr>
          <w:rFonts w:hint="eastAsia"/>
          <w:spacing w:val="-1"/>
        </w:rPr>
        <w:t>全部</w:t>
      </w:r>
      <w:r>
        <w:rPr>
          <w:rFonts w:hint="eastAsia"/>
        </w:rPr>
        <w:t>资产进行清产核资、造册登记。</w:t>
      </w:r>
      <w:r>
        <w:rPr>
          <w:rFonts w:hint="eastAsia"/>
          <w:lang w:val="en-US"/>
        </w:rPr>
        <w:t>合作单位</w:t>
      </w:r>
      <w:r>
        <w:rPr>
          <w:rFonts w:hint="eastAsia"/>
        </w:rPr>
        <w:t>在合同期内负责</w:t>
      </w:r>
      <w:r>
        <w:rPr>
          <w:rFonts w:hint="eastAsia"/>
          <w:lang w:val="en-US"/>
        </w:rPr>
        <w:t>院内设备设施的日常维护及保养。</w:t>
      </w:r>
      <w:r>
        <w:rPr>
          <w:spacing w:val="3"/>
        </w:rPr>
        <w:t>各院区</w:t>
      </w:r>
      <w:r>
        <w:rPr>
          <w:rFonts w:hint="eastAsia"/>
          <w:spacing w:val="3"/>
          <w:lang w:val="en-US"/>
        </w:rPr>
        <w:t>内房屋安全、建筑结构、装修、消防、设备设施</w:t>
      </w:r>
      <w:r>
        <w:rPr>
          <w:rFonts w:hint="eastAsia"/>
          <w:spacing w:val="-8"/>
        </w:rPr>
        <w:t>等</w:t>
      </w:r>
      <w:r>
        <w:rPr>
          <w:spacing w:val="-8"/>
        </w:rPr>
        <w:t>发生</w:t>
      </w:r>
      <w:r>
        <w:rPr>
          <w:rFonts w:hint="eastAsia"/>
          <w:spacing w:val="-8"/>
          <w:lang w:val="en-US"/>
        </w:rPr>
        <w:t>非人为性损坏，需维修、更换、新增时，由我公司向上级申请专项资金负责维修和采购安装。</w:t>
      </w:r>
      <w:r>
        <w:rPr>
          <w:rFonts w:hint="eastAsia"/>
        </w:rPr>
        <w:t>不得出租、出借国有资产，需处置的国有资产报我公司同意后按流程处置，不得以国有资产进行抵押、贷款。</w:t>
      </w:r>
      <w:r>
        <w:rPr>
          <w:spacing w:val="-10"/>
        </w:rPr>
        <w:t>运营期间，合作单位投入的固定资产产权归属</w:t>
      </w:r>
      <w:r>
        <w:rPr>
          <w:rFonts w:hint="eastAsia"/>
          <w:spacing w:val="-10"/>
        </w:rPr>
        <w:t>合作单位</w:t>
      </w:r>
      <w:r>
        <w:rPr>
          <w:spacing w:val="-10"/>
        </w:rPr>
        <w:t>。</w:t>
      </w:r>
      <w:r>
        <w:rPr>
          <w:rFonts w:hint="eastAsia"/>
          <w:spacing w:val="-10"/>
        </w:rPr>
        <w:t>我公司应对各院内自然损耗，已达报废年限或必要增加的适老化设施设备进行更换及添置。各级</w:t>
      </w:r>
      <w:r>
        <w:rPr>
          <w:rFonts w:hint="eastAsia"/>
          <w:spacing w:val="-7"/>
        </w:rPr>
        <w:t>财政资金投资</w:t>
      </w:r>
      <w:r>
        <w:rPr>
          <w:spacing w:val="-7"/>
        </w:rPr>
        <w:t>新增设备设施仍属国有</w:t>
      </w:r>
      <w:r>
        <w:t>。</w:t>
      </w:r>
    </w:p>
    <w:p>
      <w:pPr>
        <w:pStyle w:val="3"/>
        <w:spacing w:line="360" w:lineRule="auto"/>
        <w:ind w:left="0" w:right="244" w:firstLine="480" w:firstLineChars="200"/>
      </w:pPr>
      <w:r>
        <w:rPr>
          <w:rFonts w:hint="eastAsia"/>
        </w:rPr>
        <w:t>二是服务监管。威远县福利院主要用于城市特困人员集中供养，在优先保障特困人员入住的前提下，合作单位可将剩余床位用于社会代养。我公司将现居住在威远县福利院的特困人员委托给合作单位代养，由合作单位提供与社会代养老人相同的吃、穿、住、医等服务，并严格按照《养老机构管理办法》（民政部令第66号）的规定执行。我公司与行业主管单位不定期到机构检查运营方的服务范围、服务对象、服务质量、运营管理等情况。</w:t>
      </w:r>
    </w:p>
    <w:p>
      <w:pPr>
        <w:pStyle w:val="3"/>
        <w:spacing w:line="360" w:lineRule="auto"/>
        <w:ind w:left="0" w:right="244" w:firstLine="480" w:firstLineChars="200"/>
      </w:pPr>
      <w:r>
        <w:rPr>
          <w:rFonts w:hint="eastAsia"/>
        </w:rPr>
        <w:t>三是收费监管。合作单位不得向特困人员收取任何费用。社会老人特定护理、伙食费等费用，按照据实核算原则，实行市场调节价。</w:t>
      </w:r>
    </w:p>
    <w:p>
      <w:pPr>
        <w:pStyle w:val="3"/>
        <w:spacing w:line="360" w:lineRule="auto"/>
      </w:pPr>
      <w:r>
        <w:rPr>
          <w:rFonts w:hint="eastAsia"/>
          <w:lang w:val="en-US"/>
        </w:rPr>
        <w:t>（二）扶持政策</w:t>
      </w:r>
    </w:p>
    <w:p>
      <w:pPr>
        <w:pStyle w:val="3"/>
        <w:spacing w:line="360" w:lineRule="auto"/>
        <w:ind w:left="0" w:firstLine="480" w:firstLineChars="200"/>
      </w:pPr>
      <w:r>
        <w:rPr>
          <w:rFonts w:hint="eastAsia"/>
          <w:lang w:val="en-US"/>
        </w:rPr>
        <w:t>1、</w:t>
      </w:r>
      <w:r>
        <w:rPr>
          <w:rFonts w:hint="eastAsia"/>
        </w:rPr>
        <w:t>适老化改造补助。威远县福利院实施公建民营后，可申请享受福利院适老化改造补助政策，适老化改造形成的国有资产归威远县福利院所有。</w:t>
      </w:r>
    </w:p>
    <w:p>
      <w:pPr>
        <w:pStyle w:val="3"/>
        <w:spacing w:line="360" w:lineRule="auto"/>
        <w:ind w:left="0" w:firstLine="480" w:firstLineChars="200"/>
        <w:rPr>
          <w:lang w:val="en-US"/>
        </w:rPr>
      </w:pPr>
      <w:r>
        <w:rPr>
          <w:rFonts w:hint="eastAsia"/>
          <w:lang w:val="en-US"/>
        </w:rPr>
        <w:t>2、税费减免。按规定落实各项行政事业性收费减免政策，落实养老服务机构用电、用水、用气、用热享受居民价格政策。</w:t>
      </w:r>
    </w:p>
    <w:p>
      <w:pPr>
        <w:pStyle w:val="3"/>
        <w:spacing w:line="360" w:lineRule="auto"/>
        <w:ind w:left="0" w:firstLine="480" w:firstLineChars="200"/>
        <w:rPr>
          <w:lang w:val="en-US"/>
        </w:rPr>
      </w:pPr>
      <w:r>
        <w:rPr>
          <w:rFonts w:hint="eastAsia"/>
          <w:lang w:val="en-US"/>
        </w:rPr>
        <w:t>3、特困供养人员经费。按最新政策规定标准执行。</w:t>
      </w:r>
    </w:p>
    <w:p>
      <w:pPr>
        <w:pStyle w:val="2"/>
        <w:rPr>
          <w:rFonts w:eastAsia="宋体"/>
        </w:rPr>
      </w:pPr>
      <w:r>
        <w:rPr>
          <w:rFonts w:hint="eastAsia" w:eastAsia="宋体"/>
        </w:rPr>
        <w:t>五、考核机制：</w:t>
      </w:r>
    </w:p>
    <w:p>
      <w:pPr>
        <w:pStyle w:val="3"/>
        <w:spacing w:line="360" w:lineRule="auto"/>
        <w:ind w:right="358"/>
        <w:jc w:val="both"/>
        <w:rPr>
          <w:lang w:val="en-US"/>
        </w:rPr>
      </w:pPr>
      <w:r>
        <w:rPr>
          <w:rFonts w:hint="eastAsia"/>
          <w:lang w:val="en-US"/>
        </w:rPr>
        <w:t>（一）考核标准：</w:t>
      </w:r>
    </w:p>
    <w:tbl>
      <w:tblPr>
        <w:tblStyle w:val="9"/>
        <w:tblW w:w="9082" w:type="dxa"/>
        <w:tblInd w:w="98" w:type="dxa"/>
        <w:tblLayout w:type="fixed"/>
        <w:tblCellMar>
          <w:top w:w="0" w:type="dxa"/>
          <w:left w:w="108" w:type="dxa"/>
          <w:bottom w:w="0" w:type="dxa"/>
          <w:right w:w="108" w:type="dxa"/>
        </w:tblCellMar>
      </w:tblPr>
      <w:tblGrid>
        <w:gridCol w:w="647"/>
        <w:gridCol w:w="4333"/>
        <w:gridCol w:w="613"/>
        <w:gridCol w:w="2214"/>
        <w:gridCol w:w="567"/>
        <w:gridCol w:w="708"/>
      </w:tblGrid>
      <w:tr>
        <w:tblPrEx>
          <w:tblCellMar>
            <w:top w:w="0" w:type="dxa"/>
            <w:left w:w="108" w:type="dxa"/>
            <w:bottom w:w="0" w:type="dxa"/>
            <w:right w:w="108" w:type="dxa"/>
          </w:tblCellMar>
        </w:tblPrEx>
        <w:trPr>
          <w:trHeight w:val="314"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序号</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考核内容</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分值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扣分标准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得分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rPr>
            </w:pPr>
            <w:r>
              <w:rPr>
                <w:rFonts w:hint="eastAsia" w:ascii="Calibri" w:hAnsi="Calibri" w:eastAsia="宋体" w:cs="Times New Roman"/>
              </w:rPr>
              <w:t>备注</w:t>
            </w:r>
          </w:p>
        </w:tc>
      </w:tr>
      <w:tr>
        <w:tblPrEx>
          <w:tblCellMar>
            <w:top w:w="0" w:type="dxa"/>
            <w:left w:w="108" w:type="dxa"/>
            <w:bottom w:w="0" w:type="dxa"/>
            <w:right w:w="108" w:type="dxa"/>
          </w:tblCellMar>
        </w:tblPrEx>
        <w:trPr>
          <w:trHeight w:val="104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建立入院评估制度，对老年人的身心状况进行评估，并根据评估结是确定照料护理等级</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缺少一份评估报告扣1分，扣完为止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228"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与供养对象签订供养服务协议</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缺少一份供养服务协议扣1分，扣完为止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543"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养老机构按照供养服务协议为老年人提供生活照料、康复护理等服务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未按照义务提供相应服务，每发现一次扣0.5分，扣完为止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53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4</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养老机构应当实时监测供养对象居住用房的安全性，对存在安全隐患的建筑及时向县民政局汇报报修，并对院内的设施、设备、用具进行维护维修，定期对老年人的活动场所和物品进行消毒和清洗</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未按照要求执行，发现一次扣0.5分，扣完为止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119"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5</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养老机构提供的饮食应当符合食品安全要求、适宜老年人食用、有利于老年人营养平衡、符合民族风俗习惯</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不符合食品安全要求，发现一次扣1分，扣完为止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53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6</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养老机构应当为供养对象建立健康档案，开展日常保健知识宣传，做好疾病预防工作。养老机构在老年人突发危重疾病时，应当及时转送医疗机构救治</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未按要求开展，发现一次扣1分，扣完为止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428"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7</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养老机构采取与县域内医疗机构合作的方式，签订合作协议，为供养对象提供医疗服务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未与医疗机构签订合作协议，发现一个扣0.3分，扣完为止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26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8</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 xml:space="preserve"> 养老机构应当根据需要为供养对象提供情绪疏导、心理咨询、危机干预等精神慰藉服务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266"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9</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养老机构应当开展适合老年人的文化、教育、体育、娱乐活动，丰富老年人的精神文化生活</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226"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10</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养老机构应当按照国家有关规定建立健全财务管理、档案管理、环境卫生、安全保卫等规章制度，并向供养对象公开</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缺少一项制度扣0.5分，扣完为止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173"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11</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养老机构应当配备与服务和运营相适应的工作人员，并依法与其签订聘用合同或者劳动合同，定期开展职业道德教育和业务培训</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20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12</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养老机构中从事康复、护理等服务的人员，应当具备相应的专业技能证书</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未按要求开展，出现一个扣0.5分，扣完为止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53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13</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养老机构应当加强对养老护理人员的职业技能培训，培训内容包括以人为本、爱老尊老孝老服务理念。</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未按要求开展，发现一次扣1分，扣完为止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53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14</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养老机构应当依照其登记类型、经营性质、运营方式、设施设备条件、管理水平、服务质量、照料护理等级等因素合理确定服务项目的收费标准，并遵守国家和地方政府价格管理有关规定</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1337"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15</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养老机构应当在醒目位置公示各类服务项目收费标准，接受社会监督</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未按要求开展，发现一次扣1分，扣完为止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16</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养老机构应当实行24小时值班，做好老年人安全保障工作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未按要求开展，发现一次扣1分</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1327"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17</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养老机构应当在各出入口、接待大厅、值班室、楼道、食堂等公共场所安装视频监控设施，并保存三个月内的视频监控记录</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未按要求开展，发现一次扣1分，扣完为止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157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18</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养老机构内设食堂的，应当取得市场监督管理部门颁发的食品经营许可证，严格遵守相关法律、法规和食品安全标准，执行原料控制、餐具饮具清洗消毒、食品留样等制度，并依法开展食堂食品安全自查</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未按要求开展，发现一次扣2分，扣完为止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1266"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19</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养老机构从供餐单位订餐的，应当从取得食品生产经营许可的供餐单位订购，并按照要求对订购的食品进行查验。</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1554"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20</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养老机构应当依法履行消防安全职责，健全消防安全管理制度，实行消防工作责任制，定期检测、维修消防设施，开展日常防火巡查、检查，定期组织灭火和应急疏散消防安全培训</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153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21</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养老机构的法定代表人或者主要负责人对本单位消防安全工作全面负责，属于消防安全重点单位的养老机构应当确定消防安全管理人，负责组织实施本单位消防安全管理工作，并报告当地消防救援机构</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153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22</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养老机构应当依法制定自然灾害、事故灾难、公共卫生事件、社会安全事件等突发事件应急预案，定期开展突发事件应急演练。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153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23</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突发事件发生后，养老机构应当立即启动应急预案，采取防止危害扩大的必要处置措施，同时根据突发事件应对管理职责分工向有关部门和民政部门报告。</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114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24</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养老机构应当建立老年人信息档案，收集和妥善保管服务协议等相关资料。档案的保管期限不少于服务协议期满后五年</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未按要求开展，发现一例扣0.5分，扣完为止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112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25</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接受县民政局管理，接受财务、消防、食品、疫情防控、安全生产等各类监督检查</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被相关职能部门或上级通报一次扣2分，扣完为止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26</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建有完善的机构管理制度。以人为本、安全第一、尊老孝老的服务理念建立完善服务制度、标准流程、人员考核激励制度、入院制度、投诉制度、服务纠纷调解制度等</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缺一项扣0.5分，扣完为止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27</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管理制度、投诉处理联系方式、服务标准等予以公布。建立福利院公众号或其他公示渠道，对老人近期情况或服务情况进行公示，满足亲属及公众监督</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缺一项扣0.5分，扣完为止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558"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28</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机构负责人应每年接受专业培训，具备养老服务专业知识和运营管理经验，全年开展不少于2次包括不限于技能、运营、管理、服务等相关培训。有记录，内容包括培训时间、时长、地点、培训内容等。</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缺少一次扣0.5分，扣完为止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29</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建立24小时值班管理制度，明确值班职责和规范。有工作交接班制度，明确交接班制度的岗位及交接要求，有值班和交接班记录</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30</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建立福利院设施设备巡查制度，每月2次巡查、维护现有消防设施（含电气、燃气等设施）保证其正常使用，有巡查记录</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31</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一人一档，建立健康档案，对入院老人进行专业评估，完善身体状况等数据。定期开展档案更新，根据老人各项情况变化更新完善个人档案</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32</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安排专人每季度对入住老人进行服务满意度抽查并形成资料存档</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33</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每月举办1次全院活动，包括但不限于知识讲座、文娱娱乐、歌舞表演、义诊体检、生日活动、节日活动等，有活动记录</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34</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饮食安全，一日三餐营养均衡，多种多样，每周更新一次菜单，并向供养对象公布</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缺一次扣1分，扣完为止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35</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有完善的安保管理，对福利院实施24小时安全保护</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缺岗一次扣1分，扣完为止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r>
      <w:tr>
        <w:tblPrEx>
          <w:tblCellMar>
            <w:top w:w="0" w:type="dxa"/>
            <w:left w:w="108" w:type="dxa"/>
            <w:bottom w:w="0" w:type="dxa"/>
            <w:right w:w="108" w:type="dxa"/>
          </w:tblCellMar>
        </w:tblPrEx>
        <w:trPr>
          <w:trHeight w:val="416"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36</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接待工作规范，有流程、接待记录。接待记录包括时间、来访人员、来访事项等。有老年人及相关第三方出入、探视、请销假等制度，有记录</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37</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每月形成福利院服务情况汇报材料上报主管部门</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缺一次扣0.5分，扣完为止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r>
      <w:tr>
        <w:tblPrEx>
          <w:tblCellMar>
            <w:top w:w="0" w:type="dxa"/>
            <w:left w:w="108" w:type="dxa"/>
            <w:bottom w:w="0" w:type="dxa"/>
            <w:right w:w="108" w:type="dxa"/>
          </w:tblCellMar>
        </w:tblPrEx>
        <w:trPr>
          <w:trHeight w:val="92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38</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无消防、食品、疫情、意外死亡等重大责任事故</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10</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Times New Roman"/>
              </w:rPr>
            </w:pPr>
            <w:r>
              <w:rPr>
                <w:rFonts w:hint="eastAsia" w:ascii="Calibri" w:hAnsi="Calibri" w:eastAsia="宋体" w:cs="Times New Roman"/>
              </w:rPr>
              <w:t>发生重大责任事故本季度考核为0分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eastAsia="宋体" w:cs="Times New Roman"/>
              </w:rPr>
            </w:pPr>
          </w:p>
        </w:tc>
      </w:tr>
      <w:tr>
        <w:tblPrEx>
          <w:tblCellMar>
            <w:top w:w="0" w:type="dxa"/>
            <w:left w:w="108" w:type="dxa"/>
            <w:bottom w:w="0" w:type="dxa"/>
            <w:right w:w="108" w:type="dxa"/>
          </w:tblCellMar>
        </w:tblPrEx>
        <w:trPr>
          <w:trHeight w:val="616" w:hRule="atLeast"/>
        </w:trPr>
        <w:tc>
          <w:tcPr>
            <w:tcW w:w="90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Times New Roman"/>
              </w:rPr>
            </w:pPr>
            <w:r>
              <w:rPr>
                <w:rFonts w:hint="eastAsia" w:ascii="Calibri" w:hAnsi="Calibri" w:eastAsia="宋体" w:cs="Times New Roman"/>
              </w:rPr>
              <w:t>加分项</w:t>
            </w:r>
          </w:p>
        </w:tc>
      </w:tr>
      <w:tr>
        <w:tblPrEx>
          <w:tblCellMar>
            <w:top w:w="0" w:type="dxa"/>
            <w:left w:w="108" w:type="dxa"/>
            <w:bottom w:w="0" w:type="dxa"/>
            <w:right w:w="108" w:type="dxa"/>
          </w:tblCellMar>
        </w:tblPrEx>
        <w:trPr>
          <w:trHeight w:val="616" w:hRule="atLeast"/>
        </w:trPr>
        <w:tc>
          <w:tcPr>
            <w:tcW w:w="90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Times New Roman"/>
              </w:rPr>
            </w:pPr>
            <w:r>
              <w:rPr>
                <w:rFonts w:hint="eastAsia" w:ascii="Calibri" w:hAnsi="Calibri" w:eastAsia="宋体" w:cs="Times New Roman"/>
              </w:rPr>
              <w:t>1.受到业务主管部门或相关职能部门表彰、奖励一次加2分。</w:t>
            </w:r>
          </w:p>
        </w:tc>
      </w:tr>
      <w:tr>
        <w:tblPrEx>
          <w:tblCellMar>
            <w:top w:w="0" w:type="dxa"/>
            <w:left w:w="108" w:type="dxa"/>
            <w:bottom w:w="0" w:type="dxa"/>
            <w:right w:w="108" w:type="dxa"/>
          </w:tblCellMar>
        </w:tblPrEx>
        <w:trPr>
          <w:trHeight w:val="616" w:hRule="atLeast"/>
        </w:trPr>
        <w:tc>
          <w:tcPr>
            <w:tcW w:w="90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Calibri" w:hAnsi="Calibri" w:eastAsia="宋体" w:cs="Times New Roman"/>
              </w:rPr>
            </w:pPr>
            <w:r>
              <w:rPr>
                <w:rFonts w:hint="eastAsia" w:ascii="Calibri" w:hAnsi="Calibri" w:eastAsia="宋体" w:cs="Times New Roman"/>
              </w:rPr>
              <w:t>2.福利院受到县级媒体报道一次加1分，市级媒体报道一次加2分，省级媒体报道一次加3分，加分无上限。</w:t>
            </w:r>
          </w:p>
        </w:tc>
      </w:tr>
    </w:tbl>
    <w:p/>
    <w:p>
      <w:pPr>
        <w:spacing w:before="156" w:beforeLines="50" w:line="360" w:lineRule="auto"/>
        <w:ind w:firstLine="480" w:firstLineChars="200"/>
        <w:rPr>
          <w:sz w:val="24"/>
        </w:rPr>
      </w:pPr>
      <w:r>
        <w:rPr>
          <w:rFonts w:hint="eastAsia"/>
          <w:sz w:val="24"/>
        </w:rPr>
        <w:t>1.甲方（我公司）及监证方（县民政局）严格按照考核标准体系对乙方（合作单位）运营的威远县福利院进行考核，运营考核结果以监证方对甲方的考核得分作为甲方对乙方的考核最终分数。</w:t>
      </w:r>
    </w:p>
    <w:p>
      <w:pPr>
        <w:spacing w:before="156" w:beforeLines="50" w:line="360" w:lineRule="auto"/>
        <w:ind w:firstLine="480" w:firstLineChars="200"/>
        <w:rPr>
          <w:sz w:val="24"/>
        </w:rPr>
      </w:pPr>
      <w:r>
        <w:rPr>
          <w:rFonts w:hint="eastAsia"/>
          <w:sz w:val="24"/>
        </w:rPr>
        <w:t>2.考核周期：每季度考核一次。</w:t>
      </w:r>
    </w:p>
    <w:p>
      <w:pPr>
        <w:spacing w:before="156" w:beforeLines="50" w:line="360" w:lineRule="auto"/>
        <w:ind w:firstLine="480" w:firstLineChars="200"/>
        <w:rPr>
          <w:sz w:val="24"/>
        </w:rPr>
      </w:pPr>
      <w:r>
        <w:rPr>
          <w:rFonts w:hint="eastAsia"/>
          <w:sz w:val="24"/>
        </w:rPr>
        <w:t>3.结果运用</w:t>
      </w:r>
    </w:p>
    <w:p>
      <w:pPr>
        <w:spacing w:before="156" w:beforeLines="50" w:line="360" w:lineRule="auto"/>
        <w:ind w:firstLine="480" w:firstLineChars="200"/>
        <w:rPr>
          <w:sz w:val="24"/>
        </w:rPr>
      </w:pPr>
      <w:r>
        <w:rPr>
          <w:rFonts w:hint="eastAsia"/>
          <w:sz w:val="24"/>
        </w:rPr>
        <w:t>3.1服务考核分数 74-84，乙方需进行服务质量提升整改。</w:t>
      </w:r>
    </w:p>
    <w:p>
      <w:pPr>
        <w:spacing w:before="156" w:beforeLines="50" w:line="360" w:lineRule="auto"/>
        <w:ind w:firstLine="480" w:firstLineChars="200"/>
        <w:rPr>
          <w:sz w:val="24"/>
        </w:rPr>
      </w:pPr>
      <w:r>
        <w:rPr>
          <w:rFonts w:hint="eastAsia"/>
          <w:sz w:val="24"/>
        </w:rPr>
        <w:t>3.2乙方连续两年年平均考核分数低于 70分（不含），甲方有权解除合同。</w:t>
      </w:r>
    </w:p>
    <w:p>
      <w:pPr>
        <w:pStyle w:val="2"/>
        <w:rPr>
          <w:rFonts w:eastAsia="宋体"/>
        </w:rPr>
      </w:pPr>
      <w:r>
        <w:rPr>
          <w:rFonts w:hint="eastAsia" w:eastAsia="宋体"/>
        </w:rPr>
        <w:t>六、本次综合评分的因素详见综合评分明细表。</w:t>
      </w:r>
    </w:p>
    <w:p>
      <w:pPr>
        <w:pStyle w:val="4"/>
        <w:tabs>
          <w:tab w:val="left" w:pos="600"/>
        </w:tabs>
        <w:spacing w:line="360" w:lineRule="auto"/>
        <w:ind w:left="0" w:leftChars="0" w:firstLine="480" w:firstLineChars="20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综合评分明细表</w:t>
      </w:r>
    </w:p>
    <w:p>
      <w:pPr>
        <w:rPr>
          <w:sz w:val="24"/>
        </w:rPr>
      </w:pPr>
      <w:r>
        <w:rPr>
          <w:rFonts w:hint="eastAsia"/>
          <w:sz w:val="24"/>
        </w:rPr>
        <w:br w:type="page"/>
      </w:r>
    </w:p>
    <w:tbl>
      <w:tblPr>
        <w:tblStyle w:val="9"/>
        <w:tblW w:w="8458" w:type="dxa"/>
        <w:jc w:val="center"/>
        <w:tblLayout w:type="fixed"/>
        <w:tblCellMar>
          <w:top w:w="0" w:type="dxa"/>
          <w:left w:w="0" w:type="dxa"/>
          <w:bottom w:w="0" w:type="dxa"/>
          <w:right w:w="0" w:type="dxa"/>
        </w:tblCellMar>
      </w:tblPr>
      <w:tblGrid>
        <w:gridCol w:w="621"/>
        <w:gridCol w:w="1041"/>
        <w:gridCol w:w="693"/>
        <w:gridCol w:w="6103"/>
      </w:tblGrid>
      <w:tr>
        <w:tblPrEx>
          <w:tblCellMar>
            <w:top w:w="0" w:type="dxa"/>
            <w:left w:w="0" w:type="dxa"/>
            <w:bottom w:w="0" w:type="dxa"/>
            <w:right w:w="0" w:type="dxa"/>
          </w:tblCellMar>
        </w:tblPrEx>
        <w:trPr>
          <w:trHeight w:val="327"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Cs w:val="21"/>
              </w:rPr>
            </w:pPr>
            <w:r>
              <w:rPr>
                <w:rFonts w:hint="eastAsia"/>
                <w:b/>
                <w:color w:val="000000"/>
                <w:szCs w:val="21"/>
              </w:rPr>
              <w:t>序号</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Cs w:val="21"/>
              </w:rPr>
            </w:pPr>
            <w:r>
              <w:rPr>
                <w:rFonts w:hint="eastAsia"/>
                <w:b/>
                <w:color w:val="000000"/>
                <w:szCs w:val="21"/>
              </w:rPr>
              <w:t>评分因素</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Cs w:val="21"/>
              </w:rPr>
            </w:pPr>
            <w:r>
              <w:rPr>
                <w:rFonts w:hint="eastAsia"/>
                <w:b/>
                <w:color w:val="000000"/>
                <w:szCs w:val="21"/>
              </w:rPr>
              <w:t>分值</w:t>
            </w:r>
          </w:p>
        </w:tc>
        <w:tc>
          <w:tcPr>
            <w:tcW w:w="6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b/>
                <w:color w:val="000000"/>
                <w:szCs w:val="21"/>
              </w:rPr>
            </w:pPr>
            <w:r>
              <w:rPr>
                <w:rFonts w:hint="eastAsia"/>
                <w:b/>
                <w:color w:val="000000"/>
                <w:szCs w:val="21"/>
              </w:rPr>
              <w:t>评分标准</w:t>
            </w:r>
          </w:p>
        </w:tc>
      </w:tr>
      <w:tr>
        <w:tblPrEx>
          <w:tblCellMar>
            <w:top w:w="0" w:type="dxa"/>
            <w:left w:w="0" w:type="dxa"/>
            <w:bottom w:w="0" w:type="dxa"/>
            <w:right w:w="0" w:type="dxa"/>
          </w:tblCellMar>
        </w:tblPrEx>
        <w:trPr>
          <w:trHeight w:val="637"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服务要求响应</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5</w:t>
            </w:r>
          </w:p>
        </w:tc>
        <w:tc>
          <w:tcPr>
            <w:tcW w:w="6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Cs w:val="21"/>
              </w:rPr>
            </w:pPr>
            <w:r>
              <w:rPr>
                <w:rFonts w:hint="eastAsia"/>
                <w:color w:val="000000"/>
                <w:szCs w:val="21"/>
              </w:rPr>
              <w:t>合作单位完全满足本项目“技术服务要求”的得5分，每有一项偏离的扣1分，直至本项得分扣完为止。</w:t>
            </w:r>
          </w:p>
        </w:tc>
      </w:tr>
      <w:tr>
        <w:tblPrEx>
          <w:tblCellMar>
            <w:top w:w="0" w:type="dxa"/>
            <w:left w:w="0" w:type="dxa"/>
            <w:bottom w:w="0" w:type="dxa"/>
            <w:right w:w="0" w:type="dxa"/>
          </w:tblCellMar>
        </w:tblPrEx>
        <w:trPr>
          <w:trHeight w:val="2185"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服务方案</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48</w:t>
            </w:r>
          </w:p>
        </w:tc>
        <w:tc>
          <w:tcPr>
            <w:tcW w:w="6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Cs w:val="21"/>
              </w:rPr>
            </w:pPr>
            <w:r>
              <w:rPr>
                <w:rFonts w:hint="eastAsia"/>
                <w:color w:val="000000"/>
                <w:szCs w:val="21"/>
              </w:rPr>
              <w:t>根据合作单位提供的服务方案进行评审，内容要素包括但不限于：①管理制度、②内部控制措施、③质量保障措施、④应急预案、⑤培训管理、⑥服务实施方案、⑦团队设置、⑧设施设备配置等。要求方案全面，覆盖面广，充分考虑各种涉及服务项目，严谨可操作性强，契合采购需求，切合项目实际得48分，每有一项内容缺失或有漏洞或不合理或不满足项目实际情况的扣6分，此项分值扣完为止。未提供“服务方案”的不得分。</w:t>
            </w:r>
          </w:p>
        </w:tc>
      </w:tr>
      <w:tr>
        <w:tblPrEx>
          <w:tblCellMar>
            <w:top w:w="0" w:type="dxa"/>
            <w:left w:w="0" w:type="dxa"/>
            <w:bottom w:w="0" w:type="dxa"/>
            <w:right w:w="0" w:type="dxa"/>
          </w:tblCellMar>
        </w:tblPrEx>
        <w:trPr>
          <w:trHeight w:val="1256"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3</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szCs w:val="24"/>
              </w:rPr>
            </w:pPr>
            <w:r>
              <w:rPr>
                <w:rFonts w:hint="eastAsia"/>
                <w:color w:val="000000"/>
                <w:szCs w:val="21"/>
              </w:rPr>
              <w:t>绿色通道服务协议</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4"/>
              <w:ind w:right="169"/>
              <w:jc w:val="center"/>
              <w:rPr>
                <w:kern w:val="2"/>
                <w:sz w:val="21"/>
                <w:szCs w:val="24"/>
                <w:lang w:val="en-US"/>
              </w:rPr>
            </w:pPr>
            <w:r>
              <w:rPr>
                <w:rFonts w:hint="eastAsia"/>
                <w:lang w:val="en-US"/>
              </w:rPr>
              <w:t>6</w:t>
            </w:r>
          </w:p>
        </w:tc>
        <w:tc>
          <w:tcPr>
            <w:tcW w:w="6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4"/>
              <w:autoSpaceDE/>
              <w:autoSpaceDN/>
              <w:spacing w:line="360" w:lineRule="auto"/>
              <w:rPr>
                <w:rFonts w:asciiTheme="minorHAnsi" w:hAnsiTheme="minorHAnsi" w:eastAsiaTheme="minorEastAsia" w:cstheme="minorBidi"/>
                <w:color w:val="000000"/>
                <w:kern w:val="2"/>
                <w:sz w:val="21"/>
                <w:szCs w:val="21"/>
                <w:lang w:val="en-US" w:bidi="ar-SA"/>
              </w:rPr>
            </w:pPr>
            <w:r>
              <w:rPr>
                <w:rFonts w:hint="eastAsia" w:asciiTheme="minorHAnsi" w:hAnsiTheme="minorHAnsi" w:eastAsiaTheme="minorEastAsia" w:cstheme="minorBidi"/>
                <w:color w:val="000000"/>
                <w:kern w:val="2"/>
                <w:sz w:val="21"/>
                <w:szCs w:val="21"/>
                <w:lang w:val="en-US" w:bidi="ar-SA"/>
              </w:rPr>
              <w:t>提供一个医院绿色通道协议得3分，最高得6分。</w:t>
            </w:r>
          </w:p>
          <w:p>
            <w:pPr>
              <w:pStyle w:val="14"/>
              <w:autoSpaceDE/>
              <w:autoSpaceDN/>
              <w:spacing w:line="360" w:lineRule="auto"/>
              <w:rPr>
                <w:sz w:val="21"/>
                <w:lang w:val="en-US"/>
              </w:rPr>
            </w:pPr>
            <w:r>
              <w:rPr>
                <w:rFonts w:hint="eastAsia" w:asciiTheme="minorHAnsi" w:hAnsiTheme="minorHAnsi" w:eastAsiaTheme="minorEastAsia" w:cstheme="minorBidi"/>
                <w:color w:val="000000"/>
                <w:kern w:val="2"/>
                <w:sz w:val="21"/>
                <w:szCs w:val="21"/>
                <w:lang w:val="en-US" w:bidi="ar-SA"/>
              </w:rPr>
              <w:t>注：提供协议/合同复印件加盖合作单位公章，复印件应为原件的彩色复印件，否则不予认可。</w:t>
            </w:r>
          </w:p>
        </w:tc>
      </w:tr>
      <w:tr>
        <w:tblPrEx>
          <w:tblCellMar>
            <w:top w:w="0" w:type="dxa"/>
            <w:left w:w="0" w:type="dxa"/>
            <w:bottom w:w="0" w:type="dxa"/>
            <w:right w:w="0" w:type="dxa"/>
          </w:tblCellMar>
        </w:tblPrEx>
        <w:trPr>
          <w:trHeight w:val="37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人员配置</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30</w:t>
            </w:r>
          </w:p>
        </w:tc>
        <w:tc>
          <w:tcPr>
            <w:tcW w:w="6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pPr>
            <w:r>
              <w:rPr>
                <w:rFonts w:hint="eastAsia"/>
              </w:rPr>
              <w:t>根据合作单位提供的人员配置进行评审，所配置人员证书类型包括：</w:t>
            </w:r>
          </w:p>
          <w:p>
            <w:pPr>
              <w:numPr>
                <w:ilvl w:val="0"/>
                <w:numId w:val="1"/>
              </w:numPr>
              <w:spacing w:line="360" w:lineRule="auto"/>
              <w:jc w:val="left"/>
            </w:pPr>
            <w:r>
              <w:rPr>
                <w:rFonts w:hint="eastAsia"/>
              </w:rPr>
              <w:t>负责人具有养老机构运营管理经验，且具有“助理社会工作师、护师”中提供一种类型证书得2分，每多一种类型证书加2分，本项最高得4分。</w:t>
            </w:r>
          </w:p>
          <w:p>
            <w:pPr>
              <w:spacing w:line="360" w:lineRule="auto"/>
            </w:pPr>
            <w:r>
              <w:rPr>
                <w:rFonts w:hint="eastAsia"/>
              </w:rPr>
              <w:t>注：提供上述人员证书复印件、身份证复印件和养老机构运营管理经验证明材料并</w:t>
            </w:r>
            <w:r>
              <w:rPr>
                <w:rFonts w:hint="eastAsia"/>
                <w:color w:val="000000"/>
                <w:szCs w:val="21"/>
              </w:rPr>
              <w:t>加盖合作单位鲜章。</w:t>
            </w:r>
          </w:p>
          <w:p>
            <w:pPr>
              <w:spacing w:line="360" w:lineRule="auto"/>
              <w:rPr>
                <w:color w:val="000000"/>
                <w:szCs w:val="21"/>
              </w:rPr>
            </w:pPr>
            <w:r>
              <w:rPr>
                <w:rFonts w:hint="eastAsia"/>
              </w:rPr>
              <w:t>2、服务人员①养老护理员、②助理社会工作师或社会工作师、③心理咨询师、④营养师、⑤康复理疗师、⑥护士、⑦医师、⑧厨师、⑨药剂师、⑩卫生护理员、</w:t>
            </w:r>
            <w:r>
              <w:rPr>
                <w:rFonts w:ascii="Cambria Math" w:hAnsi="Cambria Math" w:cs="Cambria Math"/>
              </w:rPr>
              <w:t>⑪</w:t>
            </w:r>
            <w:r>
              <w:rPr>
                <w:rFonts w:hint="eastAsia" w:ascii="宋体" w:hAnsi="宋体" w:eastAsia="宋体" w:cs="宋体"/>
              </w:rPr>
              <w:t>保健按摩师、</w:t>
            </w:r>
            <w:r>
              <w:rPr>
                <w:rFonts w:ascii="Cambria Math" w:hAnsi="Cambria Math" w:cs="Cambria Math"/>
              </w:rPr>
              <w:t>⑫</w:t>
            </w:r>
            <w:r>
              <w:rPr>
                <w:rFonts w:hint="eastAsia" w:ascii="宋体" w:hAnsi="宋体" w:eastAsia="宋体" w:cs="宋体"/>
              </w:rPr>
              <w:t>紧急救援员、</w:t>
            </w:r>
            <w:r>
              <w:rPr>
                <w:rFonts w:ascii="Cambria Math" w:hAnsi="Cambria Math" w:cs="Cambria Math"/>
              </w:rPr>
              <w:t>⑬</w:t>
            </w:r>
            <w:r>
              <w:rPr>
                <w:rFonts w:hint="eastAsia"/>
                <w:color w:val="000000"/>
                <w:szCs w:val="21"/>
              </w:rPr>
              <w:t>健康管理师等，每提供一类人员得2分，最多得26分，同类型人员不重复计分。</w:t>
            </w:r>
          </w:p>
          <w:p>
            <w:pPr>
              <w:widowControl/>
              <w:spacing w:line="360" w:lineRule="auto"/>
              <w:textAlignment w:val="center"/>
              <w:rPr>
                <w:color w:val="000000"/>
                <w:szCs w:val="21"/>
              </w:rPr>
            </w:pPr>
            <w:r>
              <w:rPr>
                <w:rFonts w:hint="eastAsia"/>
                <w:color w:val="000000"/>
                <w:szCs w:val="21"/>
              </w:rPr>
              <w:t>注：提供人员证书、身份证和在职证明复印件并加盖合作单位鲜章。</w:t>
            </w:r>
          </w:p>
        </w:tc>
      </w:tr>
      <w:tr>
        <w:tblPrEx>
          <w:tblCellMar>
            <w:top w:w="0" w:type="dxa"/>
            <w:left w:w="0" w:type="dxa"/>
            <w:bottom w:w="0" w:type="dxa"/>
            <w:right w:w="0" w:type="dxa"/>
          </w:tblCellMar>
        </w:tblPrEx>
        <w:trPr>
          <w:trHeight w:val="946"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项目经验</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10</w:t>
            </w:r>
          </w:p>
        </w:tc>
        <w:tc>
          <w:tcPr>
            <w:tcW w:w="6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pPr>
            <w:r>
              <w:rPr>
                <w:rFonts w:hint="eastAsia"/>
              </w:rPr>
              <w:t>提供2019年1月1日以来类似项目案例，如居家养老、机构养老、日照中心等项目案例，每提供一个得2分，最多得10分。</w:t>
            </w:r>
          </w:p>
          <w:p>
            <w:pPr>
              <w:pStyle w:val="7"/>
              <w:rPr>
                <w:lang w:val="en-US"/>
              </w:rPr>
            </w:pPr>
            <w:r>
              <w:rPr>
                <w:rFonts w:hint="eastAsia"/>
                <w:lang w:val="en-US"/>
              </w:rPr>
              <w:t>注：</w:t>
            </w:r>
            <w:r>
              <w:rPr>
                <w:rFonts w:hint="eastAsia"/>
              </w:rPr>
              <w:t>提供</w:t>
            </w:r>
            <w:r>
              <w:rPr>
                <w:rFonts w:hint="eastAsia"/>
                <w:lang w:val="en-US"/>
              </w:rPr>
              <w:t>成交/中标通知书和</w:t>
            </w:r>
            <w:r>
              <w:rPr>
                <w:rFonts w:hint="eastAsia"/>
              </w:rPr>
              <w:t>合同复印件并加盖合作单位鲜章，复印件应为原件的彩色复印件，否则不予认可。</w:t>
            </w:r>
          </w:p>
        </w:tc>
      </w:tr>
      <w:tr>
        <w:tblPrEx>
          <w:tblCellMar>
            <w:top w:w="0" w:type="dxa"/>
            <w:left w:w="0" w:type="dxa"/>
            <w:bottom w:w="0" w:type="dxa"/>
            <w:right w:w="0" w:type="dxa"/>
          </w:tblCellMar>
        </w:tblPrEx>
        <w:trPr>
          <w:trHeight w:val="643"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响应文件的规范性</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color w:val="000000"/>
                <w:szCs w:val="21"/>
              </w:rPr>
            </w:pPr>
            <w:r>
              <w:rPr>
                <w:rFonts w:hint="eastAsia"/>
                <w:color w:val="000000"/>
                <w:szCs w:val="21"/>
              </w:rPr>
              <w:t>1</w:t>
            </w:r>
          </w:p>
        </w:tc>
        <w:tc>
          <w:tcPr>
            <w:tcW w:w="6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color w:val="000000"/>
                <w:szCs w:val="21"/>
              </w:rPr>
            </w:pPr>
            <w:r>
              <w:rPr>
                <w:rFonts w:hint="eastAsia"/>
                <w:color w:val="000000"/>
                <w:szCs w:val="21"/>
              </w:rPr>
              <w:t>响应文件制作规范，没有细微偏差情形的得1分。有一项细微偏差扣0.5分，直至该项分值扣完为止。</w:t>
            </w:r>
          </w:p>
        </w:tc>
      </w:tr>
    </w:tbl>
    <w:p>
      <w:pPr>
        <w:ind w:firstLine="630"/>
      </w:pPr>
    </w:p>
    <w:p>
      <w:pPr>
        <w:spacing w:before="156" w:beforeLines="50" w:line="360" w:lineRule="auto"/>
        <w:ind w:firstLine="480" w:firstLineChars="200"/>
        <w:rPr>
          <w:sz w:val="24"/>
        </w:rPr>
      </w:pPr>
      <w:r>
        <w:rPr>
          <w:rFonts w:hint="eastAsia"/>
          <w:sz w:val="24"/>
        </w:rPr>
        <w:t>注：评分的取值按四舍五入法，保留小数点后两位。</w:t>
      </w:r>
    </w:p>
    <w:p>
      <w:pPr>
        <w:spacing w:before="156" w:beforeLines="50" w:line="360" w:lineRule="auto"/>
        <w:ind w:firstLine="480" w:firstLineChars="200"/>
        <w:rPr>
          <w:sz w:val="24"/>
        </w:rPr>
      </w:pPr>
    </w:p>
    <w:p>
      <w:pPr>
        <w:pStyle w:val="2"/>
        <w:rPr>
          <w:rFonts w:eastAsia="宋体"/>
        </w:rPr>
      </w:pPr>
      <w:r>
        <w:rPr>
          <w:rFonts w:hint="eastAsia" w:eastAsia="宋体"/>
        </w:rPr>
        <w:t xml:space="preserve">七、退出机制：  </w:t>
      </w:r>
    </w:p>
    <w:p>
      <w:pPr>
        <w:spacing w:before="156" w:beforeLines="50" w:line="360" w:lineRule="auto"/>
        <w:ind w:firstLine="480" w:firstLineChars="200"/>
        <w:rPr>
          <w:sz w:val="24"/>
        </w:rPr>
      </w:pPr>
      <w:r>
        <w:rPr>
          <w:rFonts w:hint="eastAsia"/>
          <w:sz w:val="24"/>
        </w:rPr>
        <w:t xml:space="preserve">除非因合同自然终结及不可抗拒因素。合作单位退出经营管理外，合作单位触及以下条款，即可终止合同，强制合作单位退出经营管理。  </w:t>
      </w:r>
    </w:p>
    <w:p>
      <w:pPr>
        <w:spacing w:before="156" w:beforeLines="50" w:line="360" w:lineRule="auto"/>
        <w:ind w:firstLine="480" w:firstLineChars="200"/>
        <w:rPr>
          <w:sz w:val="24"/>
        </w:rPr>
      </w:pPr>
      <w:r>
        <w:rPr>
          <w:rFonts w:hint="eastAsia"/>
          <w:sz w:val="24"/>
        </w:rPr>
        <w:t xml:space="preserve">行业主管单位每年组织一次入住老人满意度评测，满意度（含基本满意）低于 60%（不含）以下的。 </w:t>
      </w:r>
    </w:p>
    <w:p>
      <w:pPr>
        <w:spacing w:before="156" w:beforeLines="50" w:line="360" w:lineRule="auto"/>
        <w:ind w:firstLine="480" w:firstLineChars="200"/>
        <w:rPr>
          <w:sz w:val="24"/>
        </w:rPr>
      </w:pPr>
      <w:r>
        <w:rPr>
          <w:rFonts w:hint="eastAsia"/>
          <w:sz w:val="24"/>
        </w:rPr>
        <w:t xml:space="preserve">合作单位在运营管理过程中违法、破产或其他特殊情况。 </w:t>
      </w:r>
    </w:p>
    <w:p>
      <w:pPr>
        <w:spacing w:before="156" w:beforeLines="50"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76D39"/>
    <w:multiLevelType w:val="singleLevel"/>
    <w:tmpl w:val="7C076D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OTkzNTRkYzE1MWEwZTg0NmMzZjU2NTYzYWFmYTYifQ=="/>
  </w:docVars>
  <w:rsids>
    <w:rsidRoot w:val="004A0772"/>
    <w:rsid w:val="00012473"/>
    <w:rsid w:val="000C2E03"/>
    <w:rsid w:val="001C3C89"/>
    <w:rsid w:val="0023641E"/>
    <w:rsid w:val="00305524"/>
    <w:rsid w:val="003C0D71"/>
    <w:rsid w:val="003D3FEC"/>
    <w:rsid w:val="00405AB6"/>
    <w:rsid w:val="00475FFF"/>
    <w:rsid w:val="004A0772"/>
    <w:rsid w:val="00534DE8"/>
    <w:rsid w:val="005671C6"/>
    <w:rsid w:val="0057296E"/>
    <w:rsid w:val="00587A9D"/>
    <w:rsid w:val="005B57A3"/>
    <w:rsid w:val="005D738A"/>
    <w:rsid w:val="005E1160"/>
    <w:rsid w:val="005E43DF"/>
    <w:rsid w:val="005F7E1A"/>
    <w:rsid w:val="0062221E"/>
    <w:rsid w:val="00685E79"/>
    <w:rsid w:val="0073355D"/>
    <w:rsid w:val="007407B1"/>
    <w:rsid w:val="0076028B"/>
    <w:rsid w:val="007D508F"/>
    <w:rsid w:val="008536B8"/>
    <w:rsid w:val="0086024D"/>
    <w:rsid w:val="008D73FE"/>
    <w:rsid w:val="009774C4"/>
    <w:rsid w:val="00A210E3"/>
    <w:rsid w:val="00A7583D"/>
    <w:rsid w:val="00AB7B46"/>
    <w:rsid w:val="00AD4557"/>
    <w:rsid w:val="00B21C90"/>
    <w:rsid w:val="00C32346"/>
    <w:rsid w:val="00CB005E"/>
    <w:rsid w:val="00D43163"/>
    <w:rsid w:val="00DC059D"/>
    <w:rsid w:val="00E57061"/>
    <w:rsid w:val="00E63A94"/>
    <w:rsid w:val="00EC707C"/>
    <w:rsid w:val="00ED46B1"/>
    <w:rsid w:val="00F74D0B"/>
    <w:rsid w:val="00FD007C"/>
    <w:rsid w:val="00FF76E0"/>
    <w:rsid w:val="036827BC"/>
    <w:rsid w:val="062742FD"/>
    <w:rsid w:val="0A8729A8"/>
    <w:rsid w:val="0BF3436E"/>
    <w:rsid w:val="127C3C10"/>
    <w:rsid w:val="171C6B6E"/>
    <w:rsid w:val="18971A72"/>
    <w:rsid w:val="1C1036BB"/>
    <w:rsid w:val="24767BFA"/>
    <w:rsid w:val="2F7166FB"/>
    <w:rsid w:val="34D426D8"/>
    <w:rsid w:val="39903414"/>
    <w:rsid w:val="3F4E6A40"/>
    <w:rsid w:val="462C02CC"/>
    <w:rsid w:val="46EE7DFA"/>
    <w:rsid w:val="4C8449BE"/>
    <w:rsid w:val="51850890"/>
    <w:rsid w:val="5424441C"/>
    <w:rsid w:val="54A83213"/>
    <w:rsid w:val="583354EA"/>
    <w:rsid w:val="5A513A05"/>
    <w:rsid w:val="64453109"/>
    <w:rsid w:val="68617A0B"/>
    <w:rsid w:val="71AC4901"/>
    <w:rsid w:val="73551986"/>
    <w:rsid w:val="74585DA0"/>
    <w:rsid w:val="7BB045D8"/>
    <w:rsid w:val="7E7B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1"/>
    <w:pPr>
      <w:autoSpaceDE w:val="0"/>
      <w:autoSpaceDN w:val="0"/>
      <w:spacing w:line="360" w:lineRule="auto"/>
      <w:jc w:val="left"/>
      <w:outlineLvl w:val="0"/>
    </w:pPr>
    <w:rPr>
      <w:rFonts w:ascii="Microsoft JhengHei" w:hAnsi="Microsoft JhengHei" w:eastAsia="Microsoft JhengHei" w:cs="Microsoft JhengHei"/>
      <w:b/>
      <w:bCs/>
      <w:kern w:val="0"/>
      <w:sz w:val="28"/>
      <w:szCs w:val="28"/>
      <w:lang w:val="zh-CN" w:bidi="zh-CN"/>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3"/>
    <w:autoRedefine/>
    <w:qFormat/>
    <w:uiPriority w:val="1"/>
    <w:pPr>
      <w:autoSpaceDE w:val="0"/>
      <w:autoSpaceDN w:val="0"/>
      <w:ind w:left="540"/>
      <w:jc w:val="left"/>
    </w:pPr>
    <w:rPr>
      <w:rFonts w:ascii="宋体" w:hAnsi="宋体" w:eastAsia="宋体" w:cs="宋体"/>
      <w:kern w:val="0"/>
      <w:sz w:val="24"/>
      <w:szCs w:val="24"/>
      <w:lang w:val="zh-CN" w:bidi="zh-CN"/>
    </w:rPr>
  </w:style>
  <w:style w:type="paragraph" w:styleId="4">
    <w:name w:val="Body Text Indent"/>
    <w:basedOn w:val="1"/>
    <w:link w:val="15"/>
    <w:autoRedefine/>
    <w:semiHidden/>
    <w:unhideWhenUsed/>
    <w:qFormat/>
    <w:uiPriority w:val="99"/>
    <w:pPr>
      <w:spacing w:after="120"/>
      <w:ind w:left="420" w:leftChars="200"/>
    </w:pPr>
  </w:style>
  <w:style w:type="paragraph" w:styleId="5">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autoRedefine/>
    <w:qFormat/>
    <w:uiPriority w:val="0"/>
    <w:pPr>
      <w:autoSpaceDE w:val="0"/>
      <w:autoSpaceDN w:val="0"/>
      <w:spacing w:line="360" w:lineRule="auto"/>
      <w:jc w:val="left"/>
    </w:pPr>
    <w:rPr>
      <w:rFonts w:ascii="宋体" w:hAnsi="宋体" w:eastAsia="宋体" w:cs="宋体"/>
      <w:kern w:val="0"/>
      <w:sz w:val="22"/>
      <w:lang w:val="zh-CN" w:bidi="zh-CN"/>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bCs/>
    </w:rPr>
  </w:style>
  <w:style w:type="character" w:customStyle="1" w:styleId="12">
    <w:name w:val="标题 1 字符"/>
    <w:basedOn w:val="10"/>
    <w:link w:val="2"/>
    <w:autoRedefine/>
    <w:qFormat/>
    <w:uiPriority w:val="1"/>
    <w:rPr>
      <w:rFonts w:ascii="Microsoft JhengHei" w:hAnsi="Microsoft JhengHei" w:eastAsia="Microsoft JhengHei" w:cs="Microsoft JhengHei"/>
      <w:b/>
      <w:bCs/>
      <w:kern w:val="0"/>
      <w:sz w:val="28"/>
      <w:szCs w:val="28"/>
      <w:lang w:val="zh-CN" w:bidi="zh-CN"/>
    </w:rPr>
  </w:style>
  <w:style w:type="character" w:customStyle="1" w:styleId="13">
    <w:name w:val="正文文本 字符"/>
    <w:basedOn w:val="10"/>
    <w:link w:val="3"/>
    <w:autoRedefine/>
    <w:qFormat/>
    <w:uiPriority w:val="1"/>
    <w:rPr>
      <w:rFonts w:ascii="宋体" w:hAnsi="宋体" w:eastAsia="宋体" w:cs="宋体"/>
      <w:kern w:val="0"/>
      <w:sz w:val="24"/>
      <w:szCs w:val="24"/>
      <w:lang w:val="zh-CN" w:bidi="zh-CN"/>
    </w:rPr>
  </w:style>
  <w:style w:type="paragraph" w:customStyle="1" w:styleId="14">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character" w:customStyle="1" w:styleId="15">
    <w:name w:val="正文文本缩进 字符"/>
    <w:basedOn w:val="10"/>
    <w:link w:val="4"/>
    <w:semiHidden/>
    <w:qFormat/>
    <w:uiPriority w:val="99"/>
  </w:style>
  <w:style w:type="paragraph" w:styleId="16">
    <w:name w:val="List Paragraph"/>
    <w:basedOn w:val="1"/>
    <w:autoRedefine/>
    <w:qFormat/>
    <w:uiPriority w:val="1"/>
    <w:pPr>
      <w:autoSpaceDE w:val="0"/>
      <w:autoSpaceDN w:val="0"/>
      <w:ind w:left="540" w:firstLine="479"/>
      <w:jc w:val="left"/>
    </w:pPr>
    <w:rPr>
      <w:rFonts w:ascii="宋体" w:hAnsi="宋体" w:eastAsia="宋体" w:cs="宋体"/>
      <w:kern w:val="0"/>
      <w:sz w:val="22"/>
      <w:lang w:val="zh-CN" w:bidi="zh-CN"/>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AF1D4-3E58-4DB3-9C95-4C7BC87DB012}">
  <ds:schemaRefs/>
</ds:datastoreItem>
</file>

<file path=docProps/app.xml><?xml version="1.0" encoding="utf-8"?>
<Properties xmlns="http://schemas.openxmlformats.org/officeDocument/2006/extended-properties" xmlns:vt="http://schemas.openxmlformats.org/officeDocument/2006/docPropsVTypes">
  <Template>Normal</Template>
  <Pages>9</Pages>
  <Words>886</Words>
  <Characters>5054</Characters>
  <Lines>42</Lines>
  <Paragraphs>11</Paragraphs>
  <TotalTime>176</TotalTime>
  <ScaleCrop>false</ScaleCrop>
  <LinksUpToDate>false</LinksUpToDate>
  <CharactersWithSpaces>5929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2022-07-16T06:10:00Z</dcterms:created>
  <dc:creator>027</dc:creator>
  <cp:lastModifiedBy>钓余城</cp:lastModifiedBy>
  <cp:lastPrinted>2024-02-18T06:36:00Z</cp:lastPrinted>
  <dcterms:modified xsi:type="dcterms:W3CDTF">2024-02-20T07:03:04Z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97A22F75B67942E2BEB506C65ED64328_13</vt:lpwstr>
  </property>
</Properties>
</file>